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1" w:rsidRDefault="001909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35052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D1" w:rsidRDefault="00B91B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p w:rsidR="00B91BD1" w:rsidRDefault="00B91B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2072"/>
        <w:gridCol w:w="7942"/>
      </w:tblGrid>
      <w:tr w:rsidR="00B91BD1" w:rsidRPr="0036236F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BD1" w:rsidRPr="0036236F" w:rsidRDefault="001909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68580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BD1" w:rsidRPr="0036236F" w:rsidRDefault="00B91BD1" w:rsidP="00734A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3623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Выборы</w:t>
            </w:r>
            <w:r w:rsidRPr="0036236F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EA0686" w:rsidRPr="0036236F">
              <w:rPr>
                <w:rFonts w:ascii="Arial Narrow" w:hAnsi="Arial Narrow" w:cs="Arial Narrow"/>
                <w:sz w:val="20"/>
                <w:szCs w:val="20"/>
              </w:rPr>
              <w:t xml:space="preserve">депутатов Государственной Думы Федерального Собрания Российской Федерации шестого созыва, </w:t>
            </w:r>
            <w:r w:rsidRPr="0036236F">
              <w:rPr>
                <w:rFonts w:ascii="Arial Narrow" w:hAnsi="Arial Narrow" w:cs="Arial Narrow"/>
                <w:sz w:val="20"/>
                <w:szCs w:val="20"/>
              </w:rPr>
              <w:t xml:space="preserve">депутатов законодательных (представительных) органов государственной власти субъектов Российской Федерации, глав муниципальных образований городов – административных центров субъектов Российской Федерации, представительных органов муниципальных районов и иных муниципальных образований назначенные на </w:t>
            </w:r>
            <w:r w:rsidR="00734A04" w:rsidRPr="003623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4 декабря </w:t>
            </w:r>
            <w:r w:rsidRPr="0036236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2011 г.</w:t>
            </w:r>
          </w:p>
        </w:tc>
      </w:tr>
    </w:tbl>
    <w:p w:rsidR="00B91BD1" w:rsidRDefault="00B91BD1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28" w:type="dxa"/>
        <w:tblInd w:w="108" w:type="dxa"/>
        <w:tblBorders>
          <w:bottom w:val="single" w:sz="6" w:space="1" w:color="auto"/>
        </w:tblBorders>
        <w:tblLayout w:type="fixed"/>
        <w:tblLook w:val="0000"/>
      </w:tblPr>
      <w:tblGrid>
        <w:gridCol w:w="2212"/>
        <w:gridCol w:w="5221"/>
        <w:gridCol w:w="2595"/>
      </w:tblGrid>
      <w:tr w:rsidR="00B91BD1" w:rsidRPr="0036236F" w:rsidTr="001860D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B91BD1" w:rsidRPr="0036236F" w:rsidRDefault="00B91BD1" w:rsidP="00F66435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236F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 </w:t>
            </w:r>
            <w:r w:rsidR="00F66435" w:rsidRPr="0036236F">
              <w:rPr>
                <w:rFonts w:ascii="Times New Roman CYR" w:hAnsi="Times New Roman CYR" w:cs="Times New Roman CYR"/>
                <w:sz w:val="24"/>
                <w:szCs w:val="24"/>
              </w:rPr>
              <w:t>Москва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B91BD1" w:rsidRPr="0036236F" w:rsidRDefault="00B91BD1" w:rsidP="00EA0686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jc w:val="center"/>
              <w:rPr>
                <w:rFonts w:ascii="Times New Roman CYR" w:hAnsi="Times New Roman CYR" w:cs="Times New Roman CYR"/>
                <w:sz w:val="36"/>
                <w:szCs w:val="3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B91BD1" w:rsidRPr="00C8481F" w:rsidRDefault="00C8481F" w:rsidP="00C8481F">
            <w:pPr>
              <w:widowControl w:val="0"/>
              <w:autoSpaceDE w:val="0"/>
              <w:autoSpaceDN w:val="0"/>
              <w:adjustRightInd w:val="0"/>
              <w:spacing w:before="84" w:after="167" w:line="300" w:lineRule="atLeast"/>
              <w:ind w:right="7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91BD1" w:rsidRPr="0036236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ноября</w:t>
            </w:r>
            <w:r w:rsidR="00B91BD1" w:rsidRPr="0036236F">
              <w:rPr>
                <w:rFonts w:ascii="Times New Roman CYR" w:hAnsi="Times New Roman CYR" w:cs="Times New Roman CYR"/>
                <w:sz w:val="24"/>
                <w:szCs w:val="24"/>
              </w:rPr>
              <w:t xml:space="preserve"> 2011 года</w:t>
            </w:r>
          </w:p>
        </w:tc>
      </w:tr>
    </w:tbl>
    <w:p w:rsidR="00C8481F" w:rsidRPr="00C8481F" w:rsidRDefault="00C8481F" w:rsidP="00C8481F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right="50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C8481F">
        <w:rPr>
          <w:rFonts w:ascii="Arial CYR" w:hAnsi="Arial CYR" w:cs="Arial CYR"/>
          <w:b/>
          <w:bCs/>
          <w:color w:val="000000"/>
          <w:sz w:val="28"/>
          <w:szCs w:val="28"/>
        </w:rPr>
        <w:t>Основные вывод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ы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br/>
      </w:r>
      <w:r w:rsidRPr="00C8481F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первого Заявления ассоциации «ГОЛОС» по результатам долгосрочного наблюдения хода избирательных кампаний местных, региональных и выборов депутатов Государственной думы России, назначенных на 4 декабря 2011 г.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br/>
      </w:r>
      <w:r w:rsidRPr="00C8481F">
        <w:rPr>
          <w:rFonts w:ascii="Arial CYR" w:hAnsi="Arial CYR" w:cs="Arial CYR"/>
          <w:b/>
          <w:bCs/>
          <w:color w:val="000000"/>
          <w:sz w:val="28"/>
          <w:szCs w:val="28"/>
        </w:rPr>
        <w:t>Этапы выдвижения и регистрации.</w:t>
      </w:r>
    </w:p>
    <w:p w:rsidR="00C8481F" w:rsidRPr="00B37F68" w:rsidRDefault="00C8481F" w:rsidP="00C8481F">
      <w:pPr>
        <w:spacing w:after="120" w:line="240" w:lineRule="auto"/>
        <w:jc w:val="both"/>
        <w:rPr>
          <w:rFonts w:cs="Calibri"/>
          <w:b/>
          <w:szCs w:val="24"/>
        </w:rPr>
      </w:pPr>
    </w:p>
    <w:p w:rsidR="00C8481F" w:rsidRPr="00C8481F" w:rsidRDefault="00C8481F" w:rsidP="00C8481F">
      <w:pPr>
        <w:spacing w:after="120" w:line="240" w:lineRule="auto"/>
        <w:jc w:val="both"/>
        <w:rPr>
          <w:rFonts w:cs="Calibri"/>
          <w:b/>
          <w:sz w:val="28"/>
          <w:szCs w:val="24"/>
        </w:rPr>
      </w:pPr>
      <w:r w:rsidRPr="00C8481F">
        <w:rPr>
          <w:rFonts w:cs="Calibri"/>
          <w:b/>
          <w:sz w:val="28"/>
          <w:szCs w:val="24"/>
        </w:rPr>
        <w:t>Выборы депутатов Государственной Думы России шестого созыва</w:t>
      </w:r>
    </w:p>
    <w:p w:rsidR="00C8481F" w:rsidRPr="00B37F68" w:rsidRDefault="00C8481F" w:rsidP="00C8481F">
      <w:pPr>
        <w:spacing w:after="120" w:line="240" w:lineRule="auto"/>
        <w:jc w:val="both"/>
        <w:rPr>
          <w:rFonts w:cs="Calibri"/>
          <w:b/>
          <w:szCs w:val="24"/>
        </w:rPr>
      </w:pP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 xml:space="preserve">Ассоциация «ГОЛОС» отмечает, что Федеральный закон «О выборах депутатов Государственной Думы Федерального Собрания Российской Федерации», сохранил наиболее негативные положения и </w:t>
      </w:r>
      <w:r>
        <w:rPr>
          <w:rFonts w:cs="Calibri"/>
          <w:szCs w:val="24"/>
        </w:rPr>
        <w:t xml:space="preserve">с учетом принятых изменений </w:t>
      </w:r>
      <w:r w:rsidRPr="00B37F6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стал менее </w:t>
      </w:r>
      <w:r w:rsidRPr="00B37F68">
        <w:rPr>
          <w:rFonts w:cs="Calibri"/>
          <w:szCs w:val="24"/>
        </w:rPr>
        <w:t>демократичным.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>К положительным изменениям можно отнести попытки гарантировать партиям равные условия предоставления помещений для встреч с избирателями, небольшие изменения в правилах голосования по открепительным удостоверениям и вне помещения для голосования и некоторые гарантии инвалидам по зрению.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>Ассоциация «ГОЛОС» обращает внимание, что Федеральный закон «О политических партиях» и его тенденциозное применение фактически уничтожают политическую конкуренцию, не позволяя создавать новые политические партии.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В</w:t>
      </w:r>
      <w:r w:rsidRPr="00B37F68">
        <w:rPr>
          <w:rFonts w:cs="Calibri"/>
          <w:szCs w:val="24"/>
        </w:rPr>
        <w:t>ызывает особ</w:t>
      </w:r>
      <w:r>
        <w:rPr>
          <w:rFonts w:cs="Calibri"/>
          <w:szCs w:val="24"/>
        </w:rPr>
        <w:t xml:space="preserve">ое </w:t>
      </w:r>
      <w:r w:rsidRPr="00B37F68">
        <w:rPr>
          <w:rFonts w:cs="Calibri"/>
          <w:szCs w:val="24"/>
        </w:rPr>
        <w:t xml:space="preserve">беспокойство </w:t>
      </w:r>
      <w:r>
        <w:rPr>
          <w:rFonts w:cs="Calibri"/>
          <w:szCs w:val="24"/>
        </w:rPr>
        <w:t>б</w:t>
      </w:r>
      <w:r w:rsidRPr="00B37F68">
        <w:rPr>
          <w:rFonts w:cs="Calibri"/>
          <w:szCs w:val="24"/>
        </w:rPr>
        <w:t>есправие беспартийных кандидатов</w:t>
      </w:r>
      <w:r>
        <w:rPr>
          <w:rFonts w:cs="Calibri"/>
          <w:szCs w:val="24"/>
        </w:rPr>
        <w:t xml:space="preserve"> —</w:t>
      </w:r>
      <w:r w:rsidRPr="00B37F68">
        <w:rPr>
          <w:rFonts w:cs="Calibri"/>
          <w:szCs w:val="24"/>
        </w:rPr>
        <w:t xml:space="preserve"> за последние годы Министерство Юстиции России отказывало в регистрации всем новым политическим партиям, за исключением «Правого дела</w:t>
      </w:r>
      <w:r>
        <w:rPr>
          <w:rFonts w:cs="Calibri"/>
          <w:szCs w:val="24"/>
        </w:rPr>
        <w:t>».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>Особенностью этих выборов стали  факты нарушений кодекса судейской этики и федерального закона «О статусе судей», запрещающие судьям принадлежать и участвовать в деятельности политических партий и движений, «поддерживать их материально, участвовать в политических акциях».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О</w:t>
      </w:r>
      <w:r w:rsidRPr="00B37F68">
        <w:rPr>
          <w:rFonts w:cs="Calibri"/>
          <w:szCs w:val="24"/>
        </w:rPr>
        <w:t>тмечае</w:t>
      </w:r>
      <w:r>
        <w:rPr>
          <w:rFonts w:cs="Calibri"/>
          <w:szCs w:val="24"/>
        </w:rPr>
        <w:t>м</w:t>
      </w:r>
      <w:r w:rsidRPr="00B37F68">
        <w:rPr>
          <w:rFonts w:cs="Calibri"/>
          <w:szCs w:val="24"/>
        </w:rPr>
        <w:t xml:space="preserve"> как положительный факт, что все 7 политических партий, подавшие списки на регистрацию, были в итоге  зарегистрированы.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>Лейтмотивом этих выборов является незаконное участие в избирательной кампании органов и сотрудников государственной власти и местного самоуправления. Совокупность информации свидетельствует о том, что администрация (исполнительная власть) нарушает законодательство по двум принципиальным направлениям: 1) исполняет полномочия, возложенные исключительно на избирательные комиссии; 2)</w:t>
      </w:r>
      <w:r>
        <w:rPr>
          <w:rFonts w:cs="Calibri"/>
          <w:szCs w:val="24"/>
        </w:rPr>
        <w:t xml:space="preserve"> </w:t>
      </w:r>
      <w:r w:rsidRPr="00B37F68">
        <w:rPr>
          <w:rFonts w:cs="Calibri"/>
          <w:szCs w:val="24"/>
        </w:rPr>
        <w:t>поддерживает своими действиями и ресурсами одного из участников выборов.</w:t>
      </w:r>
    </w:p>
    <w:p w:rsidR="00C8481F" w:rsidRPr="00B37F68" w:rsidRDefault="00C8481F" w:rsidP="00C8481F">
      <w:pPr>
        <w:spacing w:after="120" w:line="240" w:lineRule="auto"/>
        <w:ind w:left="567"/>
        <w:jc w:val="both"/>
        <w:rPr>
          <w:rFonts w:cs="Calibri"/>
          <w:szCs w:val="24"/>
        </w:rPr>
      </w:pPr>
    </w:p>
    <w:p w:rsidR="00C8481F" w:rsidRPr="00C8481F" w:rsidRDefault="00C8481F" w:rsidP="00C8481F">
      <w:pPr>
        <w:spacing w:after="120" w:line="240" w:lineRule="auto"/>
        <w:jc w:val="both"/>
        <w:rPr>
          <w:rFonts w:cs="Calibri"/>
          <w:b/>
          <w:sz w:val="28"/>
          <w:szCs w:val="24"/>
        </w:rPr>
      </w:pPr>
      <w:r w:rsidRPr="00C8481F">
        <w:rPr>
          <w:rFonts w:cs="Calibri"/>
          <w:b/>
          <w:sz w:val="28"/>
          <w:szCs w:val="24"/>
        </w:rPr>
        <w:t>Региональные и местные выборы</w:t>
      </w:r>
    </w:p>
    <w:p w:rsidR="00C8481F" w:rsidRPr="00B37F68" w:rsidRDefault="00C8481F" w:rsidP="00C8481F">
      <w:pPr>
        <w:spacing w:after="120" w:line="240" w:lineRule="auto"/>
        <w:jc w:val="both"/>
        <w:rPr>
          <w:rFonts w:cs="Calibri"/>
          <w:b/>
          <w:szCs w:val="24"/>
        </w:rPr>
      </w:pP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Р</w:t>
      </w:r>
      <w:r w:rsidRPr="00B37F68">
        <w:rPr>
          <w:rFonts w:cs="Calibri"/>
          <w:szCs w:val="24"/>
        </w:rPr>
        <w:t>егиональны</w:t>
      </w:r>
      <w:r>
        <w:rPr>
          <w:rFonts w:cs="Calibri"/>
          <w:szCs w:val="24"/>
        </w:rPr>
        <w:t>е</w:t>
      </w:r>
      <w:r w:rsidRPr="00B37F68">
        <w:rPr>
          <w:rFonts w:cs="Calibri"/>
          <w:szCs w:val="24"/>
        </w:rPr>
        <w:t xml:space="preserve"> выбор</w:t>
      </w:r>
      <w:r>
        <w:rPr>
          <w:rFonts w:cs="Calibri"/>
          <w:szCs w:val="24"/>
        </w:rPr>
        <w:t>ы</w:t>
      </w:r>
      <w:r w:rsidRPr="00B37F68">
        <w:rPr>
          <w:rFonts w:cs="Calibri"/>
          <w:szCs w:val="24"/>
        </w:rPr>
        <w:t xml:space="preserve"> 4 декабря представля</w:t>
      </w:r>
      <w:r>
        <w:rPr>
          <w:rFonts w:cs="Calibri"/>
          <w:szCs w:val="24"/>
        </w:rPr>
        <w:t>ю</w:t>
      </w:r>
      <w:r w:rsidRPr="00B37F68">
        <w:rPr>
          <w:rFonts w:cs="Calibri"/>
          <w:szCs w:val="24"/>
        </w:rPr>
        <w:t>т собой яркий пример</w:t>
      </w:r>
      <w:r>
        <w:rPr>
          <w:rFonts w:cs="Calibri"/>
          <w:szCs w:val="24"/>
        </w:rPr>
        <w:t xml:space="preserve"> электорального манипулирования.</w:t>
      </w:r>
      <w:r w:rsidRPr="00C8481F">
        <w:rPr>
          <w:rFonts w:cs="Calibri"/>
          <w:szCs w:val="24"/>
        </w:rPr>
        <w:t xml:space="preserve"> </w:t>
      </w:r>
      <w:r w:rsidRPr="00B37F68">
        <w:rPr>
          <w:rFonts w:cs="Calibri"/>
          <w:szCs w:val="24"/>
        </w:rPr>
        <w:t>В регионах прошел массовый перенос выборов региональных парламентов с марта 2012 г</w:t>
      </w:r>
      <w:r>
        <w:rPr>
          <w:rFonts w:cs="Calibri"/>
          <w:szCs w:val="24"/>
        </w:rPr>
        <w:t>.</w:t>
      </w:r>
      <w:r w:rsidRPr="00B37F68">
        <w:rPr>
          <w:rFonts w:cs="Calibri"/>
          <w:szCs w:val="24"/>
        </w:rPr>
        <w:t xml:space="preserve"> на декабрь 2011</w:t>
      </w:r>
      <w:r>
        <w:rPr>
          <w:rFonts w:cs="Calibri"/>
          <w:szCs w:val="24"/>
        </w:rPr>
        <w:t xml:space="preserve"> г. </w:t>
      </w:r>
      <w:r w:rsidRPr="00B37F68">
        <w:rPr>
          <w:rFonts w:cs="Calibri"/>
          <w:szCs w:val="24"/>
        </w:rPr>
        <w:t>с целью создать максимально комфортные условия для проведения избирательной кампании «партии власти»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О</w:t>
      </w:r>
      <w:r w:rsidRPr="00B37F68">
        <w:rPr>
          <w:rFonts w:cs="Calibri"/>
          <w:szCs w:val="24"/>
        </w:rPr>
        <w:t>тмечае</w:t>
      </w:r>
      <w:r>
        <w:rPr>
          <w:rFonts w:cs="Calibri"/>
          <w:szCs w:val="24"/>
        </w:rPr>
        <w:t>м</w:t>
      </w:r>
      <w:r w:rsidRPr="00B37F68">
        <w:rPr>
          <w:rFonts w:cs="Calibri"/>
          <w:szCs w:val="24"/>
        </w:rPr>
        <w:t xml:space="preserve"> чрезмерные нормы региональных законов о порядке регистрации кандидатов по одномандатным округам и партийных списков в случае предоставления кандидатами или партиями подписей в свою поддержку.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О</w:t>
      </w:r>
      <w:r w:rsidRPr="00B37F68">
        <w:rPr>
          <w:rFonts w:cs="Calibri"/>
          <w:szCs w:val="24"/>
        </w:rPr>
        <w:t>бращае</w:t>
      </w:r>
      <w:r>
        <w:rPr>
          <w:rFonts w:cs="Calibri"/>
          <w:szCs w:val="24"/>
        </w:rPr>
        <w:t>м</w:t>
      </w:r>
      <w:r w:rsidRPr="00B37F68">
        <w:rPr>
          <w:rFonts w:cs="Calibri"/>
          <w:szCs w:val="24"/>
        </w:rPr>
        <w:t xml:space="preserve"> внимание на очевидное противоречие норм регионального избирательного законодательства и законодательства о выборах депутатов Государственной думы РФ: на выборах в Госдуму по партспискам никогда не требовалось предоставлять подписей более 0,2% от числа избирателей страны</w:t>
      </w:r>
      <w:r>
        <w:rPr>
          <w:rFonts w:cs="Calibri"/>
          <w:szCs w:val="24"/>
        </w:rPr>
        <w:t xml:space="preserve">, а на региональных выборах необходимо представить </w:t>
      </w:r>
      <w:r w:rsidRPr="00C8481F">
        <w:rPr>
          <w:rFonts w:cs="Calibri"/>
          <w:szCs w:val="24"/>
        </w:rPr>
        <w:t>подписи в количестве от 1% до 2%</w:t>
      </w:r>
      <w:r>
        <w:rPr>
          <w:rFonts w:cs="Calibri"/>
          <w:szCs w:val="24"/>
        </w:rPr>
        <w:t xml:space="preserve"> </w:t>
      </w:r>
      <w:r w:rsidRPr="00C8481F">
        <w:rPr>
          <w:rFonts w:cs="Calibri"/>
          <w:szCs w:val="24"/>
        </w:rPr>
        <w:t>от числа избирателей, зарегистрированных на территории региона или избирательного округа</w:t>
      </w:r>
      <w:r w:rsidRPr="00B37F68">
        <w:rPr>
          <w:rFonts w:cs="Calibri"/>
          <w:szCs w:val="24"/>
        </w:rPr>
        <w:t>. 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 xml:space="preserve">Заниженные размеры избирательных фондов на региональных выборах затрудняют ведение кампании легальными средствами и ставят в привилегированное положение кандидатов, опирающихся в первую очередь на административный ресурс. 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В</w:t>
      </w:r>
      <w:r w:rsidRPr="00B37F68">
        <w:rPr>
          <w:rFonts w:cs="Calibri"/>
          <w:szCs w:val="24"/>
        </w:rPr>
        <w:t>ыражае</w:t>
      </w:r>
      <w:r>
        <w:rPr>
          <w:rFonts w:cs="Calibri"/>
          <w:szCs w:val="24"/>
        </w:rPr>
        <w:t>м</w:t>
      </w:r>
      <w:r w:rsidRPr="00B37F68">
        <w:rPr>
          <w:rFonts w:cs="Calibri"/>
          <w:szCs w:val="24"/>
        </w:rPr>
        <w:t xml:space="preserve"> обеспокоенность введением процедуры голосования в ряде регионов по почте и</w:t>
      </w:r>
      <w:r>
        <w:rPr>
          <w:rFonts w:cs="Calibri"/>
          <w:szCs w:val="24"/>
        </w:rPr>
        <w:t>з-за</w:t>
      </w:r>
      <w:r w:rsidR="00190921">
        <w:rPr>
          <w:rFonts w:cs="Calibri"/>
          <w:szCs w:val="24"/>
        </w:rPr>
        <w:t xml:space="preserve"> фактической</w:t>
      </w:r>
      <w:r w:rsidRPr="00B37F68">
        <w:rPr>
          <w:rFonts w:cs="Calibri"/>
          <w:szCs w:val="24"/>
        </w:rPr>
        <w:t xml:space="preserve"> невозможност</w:t>
      </w:r>
      <w:r w:rsidR="00190921">
        <w:rPr>
          <w:rFonts w:cs="Calibri"/>
          <w:szCs w:val="24"/>
        </w:rPr>
        <w:t>и</w:t>
      </w:r>
      <w:r w:rsidRPr="00B37F68">
        <w:rPr>
          <w:rFonts w:cs="Calibri"/>
          <w:szCs w:val="24"/>
        </w:rPr>
        <w:t xml:space="preserve"> контролировать соблюдение принципа тайны голосования и его добровольности. 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>Несмотря на постановление Конституционного Суда от 7 июля 2011 г. № 15-П по т.н. «Хомутининскому делу» выборы 4 декабря 2011 показывают применение полностью пропорциональной системы в первую очередь именно на выборах представительных органов МСУ в сельских поселениях.</w:t>
      </w:r>
    </w:p>
    <w:p w:rsidR="00C8481F" w:rsidRPr="00B37F68" w:rsidRDefault="00C8481F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>Ассоциация обращает внимание на резкое увеличение случаев отмены прямых выборов мэров.</w:t>
      </w:r>
    </w:p>
    <w:p w:rsidR="00190921" w:rsidRPr="00B37F68" w:rsidRDefault="00190921" w:rsidP="00190921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 w:rsidRPr="00B37F68">
        <w:rPr>
          <w:rFonts w:cs="Calibri"/>
          <w:szCs w:val="24"/>
        </w:rPr>
        <w:t xml:space="preserve">Выявлена грубая ошибка в недавно принятом Приложении № 8 к ФЗ «Об основных гарантиях избирательных прав и права на участие в референдуме граждан Российской Федерации». Этим приложением устанавливается форма Подписного листа для сбора подписей в поддержку выдвижения кандидата на муниципальных выборах. В противоречие с п. 12 ст. 37 закона «Об основных гарантиях избирательных прав…», в подстрочнике формы пропущена информация о необходимости указания даты рождения сборщика подписей. </w:t>
      </w:r>
    </w:p>
    <w:p w:rsidR="00C8481F" w:rsidRPr="00B37F68" w:rsidRDefault="00190921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Вызывает озабоченность, что п</w:t>
      </w:r>
      <w:r w:rsidR="00C8481F" w:rsidRPr="00B37F68">
        <w:rPr>
          <w:rFonts w:cs="Calibri"/>
          <w:szCs w:val="24"/>
        </w:rPr>
        <w:t>ри нынешних требованиях к сбору подписей обычно без проблем регистрируются малоизвестные списки и кандидаты</w:t>
      </w:r>
      <w:r>
        <w:rPr>
          <w:rFonts w:cs="Calibri"/>
          <w:szCs w:val="24"/>
        </w:rPr>
        <w:t>, а п</w:t>
      </w:r>
      <w:r w:rsidR="00C8481F" w:rsidRPr="00B37F68">
        <w:rPr>
          <w:rFonts w:cs="Calibri"/>
          <w:szCs w:val="24"/>
        </w:rPr>
        <w:t xml:space="preserve">ри этом отказы в регистрации </w:t>
      </w:r>
      <w:r w:rsidR="00C8481F" w:rsidRPr="00B37F68">
        <w:rPr>
          <w:rFonts w:cs="Calibri"/>
          <w:szCs w:val="24"/>
        </w:rPr>
        <w:lastRenderedPageBreak/>
        <w:t>нередко получают реально популярные и хорошо известные представители оппозиции, что подчеркивает, что при нынешних требованиях закона и правоприменительной практике вопрос регистрации или нерегистрации в значительной степени является вопросом доброй воли соответствующей избирательной комиссии и отношения к кандидату или партии  администрации соответствующего уровня.</w:t>
      </w:r>
    </w:p>
    <w:p w:rsidR="00C8481F" w:rsidRPr="00B37F68" w:rsidRDefault="00190921" w:rsidP="00C848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Констатируем, что </w:t>
      </w:r>
      <w:r w:rsidR="00C8481F" w:rsidRPr="00B37F68">
        <w:rPr>
          <w:rFonts w:cs="Calibri"/>
          <w:szCs w:val="24"/>
        </w:rPr>
        <w:t xml:space="preserve">на </w:t>
      </w:r>
      <w:r>
        <w:rPr>
          <w:rFonts w:cs="Calibri"/>
          <w:szCs w:val="24"/>
        </w:rPr>
        <w:t xml:space="preserve">ситуация на </w:t>
      </w:r>
      <w:r w:rsidR="00C8481F" w:rsidRPr="00B37F68">
        <w:rPr>
          <w:rFonts w:cs="Calibri"/>
          <w:szCs w:val="24"/>
        </w:rPr>
        <w:t xml:space="preserve">выборах депутатов региональных Законодательных собраний напоминает предыдущие региональные кампании: максимальные зачистки на этапе регистрации, основными жертвами которых становятся представители «непарламентских» партий и независимые кандидаты. </w:t>
      </w:r>
    </w:p>
    <w:p w:rsidR="00F93021" w:rsidRDefault="00F93021" w:rsidP="00F930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021" w:rsidRPr="00190921" w:rsidRDefault="00F93021" w:rsidP="00F930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theme="minorHAnsi"/>
          <w:szCs w:val="28"/>
        </w:rPr>
      </w:pPr>
      <w:r w:rsidRPr="00190921">
        <w:rPr>
          <w:rFonts w:asciiTheme="minorHAnsi" w:hAnsiTheme="minorHAnsi" w:cstheme="minorHAnsi"/>
          <w:szCs w:val="24"/>
        </w:rPr>
        <w:t>Дополнительную</w:t>
      </w:r>
      <w:r w:rsidRPr="00190921">
        <w:rPr>
          <w:rFonts w:asciiTheme="minorHAnsi" w:hAnsiTheme="minorHAnsi" w:cstheme="minorHAnsi"/>
          <w:szCs w:val="28"/>
        </w:rPr>
        <w:t xml:space="preserve"> информацию можно получить в Центральном офисе ассоциации «ГОЛОС» у Ольги Новосад по телефонам: +7 909-638-33-05, (495) 234-59-39 или электронной почте: press@</w:t>
      </w:r>
      <w:r w:rsidRPr="00190921">
        <w:rPr>
          <w:rFonts w:asciiTheme="minorHAnsi" w:hAnsiTheme="minorHAnsi" w:cstheme="minorHAnsi"/>
          <w:color w:val="000000"/>
          <w:szCs w:val="24"/>
        </w:rPr>
        <w:t>golos</w:t>
      </w:r>
      <w:r w:rsidRPr="00190921">
        <w:rPr>
          <w:rFonts w:asciiTheme="minorHAnsi" w:hAnsiTheme="minorHAnsi" w:cstheme="minorHAnsi"/>
          <w:szCs w:val="28"/>
        </w:rPr>
        <w:t>.org</w:t>
      </w:r>
    </w:p>
    <w:p w:rsidR="00B91BD1" w:rsidRDefault="00B9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91BD1" w:rsidRDefault="00B9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4276D5" w:rsidRDefault="00427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A0686" w:rsidRPr="00716B15" w:rsidRDefault="00EA0686" w:rsidP="00EA0686">
      <w:pPr>
        <w:jc w:val="both"/>
        <w:rPr>
          <w:rFonts w:ascii="Arial" w:hAnsi="Arial" w:cs="Arial"/>
          <w:sz w:val="18"/>
        </w:rPr>
      </w:pPr>
      <w:r w:rsidRPr="00716B15">
        <w:rPr>
          <w:rFonts w:ascii="Arial" w:hAnsi="Arial" w:cs="Arial"/>
          <w:i/>
          <w:sz w:val="16"/>
        </w:rPr>
        <w:t>Ассоциация некоммерческих организаций «В защиту прав избирателей «ГОЛОС» учреждена в 2000 году. Сегодня</w:t>
      </w:r>
      <w:r>
        <w:rPr>
          <w:rFonts w:ascii="Arial" w:hAnsi="Arial" w:cs="Arial"/>
          <w:i/>
          <w:sz w:val="16"/>
        </w:rPr>
        <w:t xml:space="preserve"> «ГОЛОС» работает более чем в 48</w:t>
      </w:r>
      <w:r w:rsidRPr="00716B15">
        <w:rPr>
          <w:rFonts w:ascii="Arial" w:hAnsi="Arial" w:cs="Arial"/>
          <w:i/>
          <w:sz w:val="16"/>
        </w:rPr>
        <w:t xml:space="preserve"> регионах России. «ГОЛОС» выступает за честные, прозрачные и свободные выборы. Ведет активную работу по просвещению избирателей, организует работу горячих линий, проводит долгосрочное и краткосрочное наблюдение за вы</w:t>
      </w:r>
      <w:r w:rsidRPr="00716B15">
        <w:rPr>
          <w:rFonts w:ascii="Arial" w:hAnsi="Arial" w:cs="Arial"/>
          <w:i/>
          <w:sz w:val="16"/>
        </w:rPr>
        <w:softHyphen/>
        <w:t>борами. За 1</w:t>
      </w:r>
      <w:r w:rsidR="00190921">
        <w:rPr>
          <w:rFonts w:ascii="Arial" w:hAnsi="Arial" w:cs="Arial"/>
          <w:i/>
          <w:sz w:val="16"/>
        </w:rPr>
        <w:t>1</w:t>
      </w:r>
      <w:r w:rsidRPr="00716B15">
        <w:rPr>
          <w:rFonts w:ascii="Arial" w:hAnsi="Arial" w:cs="Arial"/>
          <w:i/>
          <w:sz w:val="16"/>
        </w:rPr>
        <w:t xml:space="preserve"> лет работы «ГОЛОС» на базе экспертных и практических материалов создал уникальную программу комплексного мониторинга выборов. Проведено наблюдение за четырьмя федеральными и сотнями регио</w:t>
      </w:r>
      <w:r w:rsidRPr="00716B15">
        <w:rPr>
          <w:rFonts w:ascii="Arial" w:hAnsi="Arial" w:cs="Arial"/>
          <w:i/>
          <w:sz w:val="16"/>
        </w:rPr>
        <w:softHyphen/>
        <w:t>нальных и местных избирательных кампаний. С 2005 года ассоциация «ГОЛОС» является членом Европейской сети организаций по наблюдению за вы</w:t>
      </w:r>
      <w:r w:rsidRPr="00716B15">
        <w:rPr>
          <w:rFonts w:ascii="Arial" w:hAnsi="Arial" w:cs="Arial"/>
          <w:i/>
          <w:sz w:val="16"/>
        </w:rPr>
        <w:softHyphen/>
        <w:t>борами (ENEMO). С 2008 года «ГОЛОС» работает с ведущими российскими экспертами над созданием Избирательного кодек</w:t>
      </w:r>
      <w:r w:rsidRPr="00716B15">
        <w:rPr>
          <w:rFonts w:ascii="Arial" w:hAnsi="Arial" w:cs="Arial"/>
          <w:i/>
          <w:sz w:val="16"/>
        </w:rPr>
        <w:softHyphen/>
        <w:t>са России. В 2009 году ассоциация «ГОЛОС» в числе шести уважаемых НКО учредила медаль «Защитнику свободных выборов». В 2010 году «ГОЛОС» вошел в состав Глобальной сети национальных наблюдателей за выборами (GNDEM).</w:t>
      </w:r>
    </w:p>
    <w:p w:rsidR="00EA0686" w:rsidRPr="00FE78C5" w:rsidRDefault="00EA0686" w:rsidP="00EA0686">
      <w:pPr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Официальный сайт: www.golos.org</w:t>
      </w:r>
      <w:r>
        <w:rPr>
          <w:rFonts w:ascii="Arial CYR" w:hAnsi="Arial CYR" w:cs="Arial CYR"/>
          <w:sz w:val="16"/>
          <w:szCs w:val="16"/>
        </w:rPr>
        <w:br/>
        <w:t>Горячая линия: www.88003333350.ru  |  Блог: golos_org.livejournal.com  |  Твиттер: http://twitter.com/golos_org</w:t>
      </w:r>
      <w:r>
        <w:rPr>
          <w:rFonts w:ascii="Arial CYR" w:hAnsi="Arial CYR" w:cs="Arial CYR"/>
          <w:sz w:val="16"/>
          <w:szCs w:val="16"/>
        </w:rPr>
        <w:br/>
        <w:t>Фейсбук: http://www.facebook.com/golos.org  |  ВКонтакте: vkontakte.ru/</w:t>
      </w:r>
      <w:r w:rsidRPr="00FE78C5">
        <w:rPr>
          <w:rFonts w:ascii="Arial CYR" w:hAnsi="Arial CYR" w:cs="Arial CYR"/>
          <w:sz w:val="16"/>
          <w:szCs w:val="16"/>
        </w:rPr>
        <w:t>golos_org</w:t>
      </w:r>
    </w:p>
    <w:p w:rsidR="00B91BD1" w:rsidRDefault="00B91BD1" w:rsidP="001C7AE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sectPr w:rsidR="00B91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25" w:rsidRDefault="00061F25" w:rsidP="00A53C6E">
      <w:pPr>
        <w:spacing w:after="0" w:line="240" w:lineRule="auto"/>
      </w:pPr>
      <w:r>
        <w:separator/>
      </w:r>
    </w:p>
  </w:endnote>
  <w:endnote w:type="continuationSeparator" w:id="0">
    <w:p w:rsidR="00061F25" w:rsidRDefault="00061F25" w:rsidP="00A5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E" w:rsidRDefault="00A53C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E" w:rsidRDefault="00A53C6E" w:rsidP="00A53C6E">
    <w:pPr>
      <w:pStyle w:val="a6"/>
      <w:jc w:val="center"/>
    </w:pPr>
    <w:fldSimple w:instr=" PAGE   \* MERGEFORMAT ">
      <w:r w:rsidR="00190921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E" w:rsidRDefault="00A53C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25" w:rsidRDefault="00061F25" w:rsidP="00A53C6E">
      <w:pPr>
        <w:spacing w:after="0" w:line="240" w:lineRule="auto"/>
      </w:pPr>
      <w:r>
        <w:separator/>
      </w:r>
    </w:p>
  </w:footnote>
  <w:footnote w:type="continuationSeparator" w:id="0">
    <w:p w:rsidR="00061F25" w:rsidRDefault="00061F25" w:rsidP="00A5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E" w:rsidRDefault="00A53C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E" w:rsidRDefault="00A53C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E" w:rsidRDefault="00A53C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51A9"/>
    <w:multiLevelType w:val="multilevel"/>
    <w:tmpl w:val="B4A83CB6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attachedTemplate r:id="rId1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90921"/>
    <w:rsid w:val="00030986"/>
    <w:rsid w:val="00061F25"/>
    <w:rsid w:val="000649E0"/>
    <w:rsid w:val="00097769"/>
    <w:rsid w:val="000A55A9"/>
    <w:rsid w:val="00126217"/>
    <w:rsid w:val="00134104"/>
    <w:rsid w:val="001860D9"/>
    <w:rsid w:val="00190921"/>
    <w:rsid w:val="001C7AE3"/>
    <w:rsid w:val="002340F2"/>
    <w:rsid w:val="0029303A"/>
    <w:rsid w:val="002E513D"/>
    <w:rsid w:val="00332A8F"/>
    <w:rsid w:val="00333722"/>
    <w:rsid w:val="0036236F"/>
    <w:rsid w:val="003864A4"/>
    <w:rsid w:val="003E7A65"/>
    <w:rsid w:val="00403955"/>
    <w:rsid w:val="004276D5"/>
    <w:rsid w:val="0046664B"/>
    <w:rsid w:val="005901B6"/>
    <w:rsid w:val="005D3343"/>
    <w:rsid w:val="00606CC1"/>
    <w:rsid w:val="00621977"/>
    <w:rsid w:val="0064772C"/>
    <w:rsid w:val="00697783"/>
    <w:rsid w:val="006B0D59"/>
    <w:rsid w:val="006B2AAA"/>
    <w:rsid w:val="00716B15"/>
    <w:rsid w:val="00734A04"/>
    <w:rsid w:val="00750B65"/>
    <w:rsid w:val="00760718"/>
    <w:rsid w:val="0078440D"/>
    <w:rsid w:val="008A34B2"/>
    <w:rsid w:val="00985F04"/>
    <w:rsid w:val="009A7366"/>
    <w:rsid w:val="009D1AE4"/>
    <w:rsid w:val="00A40D18"/>
    <w:rsid w:val="00A53C6E"/>
    <w:rsid w:val="00A64F17"/>
    <w:rsid w:val="00A776CE"/>
    <w:rsid w:val="00AD5D2D"/>
    <w:rsid w:val="00B03495"/>
    <w:rsid w:val="00B05039"/>
    <w:rsid w:val="00B91BD1"/>
    <w:rsid w:val="00BB01A6"/>
    <w:rsid w:val="00C0007B"/>
    <w:rsid w:val="00C04CC7"/>
    <w:rsid w:val="00C24B32"/>
    <w:rsid w:val="00C8481F"/>
    <w:rsid w:val="00CA3876"/>
    <w:rsid w:val="00D16E71"/>
    <w:rsid w:val="00E612FA"/>
    <w:rsid w:val="00EA0686"/>
    <w:rsid w:val="00F36E56"/>
    <w:rsid w:val="00F43CF7"/>
    <w:rsid w:val="00F50176"/>
    <w:rsid w:val="00F66435"/>
    <w:rsid w:val="00F67C71"/>
    <w:rsid w:val="00F75203"/>
    <w:rsid w:val="00F9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6D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3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53C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53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3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ory\Documents\7%20-%20&#1042;&#1099;&#1073;&#1086;&#1088;&#1099;\4%20&#1076;&#1077;&#1082;&#1072;&#1073;&#1088;&#1103;%202011\&#1055;&#1088;&#1077;&#1089;&#1089;-&#1088;&#1077;&#1083;&#1080;&#1079;&#1099;\&#1064;&#1072;&#1073;&#1083;&#1086;&#1085;%20&#1087;&#1088;&#1077;&#1089;&#1089;-&#1088;&#1077;&#1083;&#1080;&#1079;&#1072;%20&#1085;&#1072;%20&#1043;&#1086;&#1089;&#1076;&#1091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14C-34A4-4A63-9A9F-64CFCA2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пресс-релиза на Госдуму</Template>
  <TotalTime>26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grigory</cp:lastModifiedBy>
  <cp:revision>1</cp:revision>
  <cp:lastPrinted>2011-11-02T08:11:00Z</cp:lastPrinted>
  <dcterms:created xsi:type="dcterms:W3CDTF">2011-11-02T07:42:00Z</dcterms:created>
  <dcterms:modified xsi:type="dcterms:W3CDTF">2011-11-02T08:12:00Z</dcterms:modified>
</cp:coreProperties>
</file>