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B8" w:rsidRPr="004361B8" w:rsidRDefault="004361B8" w:rsidP="004361B8">
      <w:pPr>
        <w:suppressAutoHyphens/>
        <w:spacing w:after="120" w:line="360" w:lineRule="auto"/>
        <w:jc w:val="center"/>
        <w:rPr>
          <w:rFonts w:ascii="Arial" w:eastAsia="Times New Roman" w:hAnsi="Arial" w:cs="Arial"/>
          <w:b/>
          <w:kern w:val="1"/>
          <w:sz w:val="22"/>
          <w:lang w:val="de-DE" w:eastAsia="ar-SA"/>
        </w:rPr>
      </w:pPr>
      <w:r>
        <w:rPr>
          <w:rFonts w:ascii="Arial" w:eastAsia="Times New Roman" w:hAnsi="Arial" w:cs="Arial"/>
          <w:b/>
          <w:noProof/>
          <w:kern w:val="1"/>
          <w:sz w:val="22"/>
          <w:lang w:eastAsia="ru-RU"/>
        </w:rPr>
        <w:drawing>
          <wp:inline distT="0" distB="0" distL="0" distR="0">
            <wp:extent cx="85725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4361B8" w:rsidRPr="004361B8" w:rsidRDefault="004361B8" w:rsidP="004361B8">
      <w:pPr>
        <w:suppressAutoHyphens/>
        <w:spacing w:after="120" w:line="240" w:lineRule="auto"/>
        <w:rPr>
          <w:rFonts w:eastAsia="Times New Roman" w:cs="Times New Roman"/>
          <w:b/>
          <w:kern w:val="1"/>
          <w:sz w:val="24"/>
          <w:szCs w:val="24"/>
          <w:lang w:val="en-GB" w:eastAsia="ar-SA"/>
        </w:rPr>
      </w:pPr>
    </w:p>
    <w:p w:rsidR="004361B8" w:rsidRPr="004361B8" w:rsidRDefault="004361B8" w:rsidP="004361B8">
      <w:pPr>
        <w:suppressAutoHyphens/>
        <w:spacing w:after="120" w:line="240" w:lineRule="auto"/>
        <w:rPr>
          <w:rFonts w:eastAsia="Times New Roman" w:cs="Times New Roman"/>
          <w:b/>
          <w:kern w:val="1"/>
          <w:szCs w:val="28"/>
          <w:lang w:val="en-GB" w:eastAsia="ar-SA"/>
        </w:rPr>
      </w:pPr>
    </w:p>
    <w:p w:rsidR="004361B8" w:rsidRPr="004361B8" w:rsidRDefault="004361B8" w:rsidP="004361B8">
      <w:pPr>
        <w:suppressAutoHyphens/>
        <w:spacing w:after="120" w:line="240" w:lineRule="auto"/>
        <w:jc w:val="center"/>
        <w:rPr>
          <w:rFonts w:eastAsia="Times New Roman" w:cs="Times New Roman"/>
          <w:b/>
          <w:kern w:val="1"/>
          <w:szCs w:val="28"/>
          <w:lang w:val="en-GB" w:eastAsia="ar-SA"/>
        </w:rPr>
      </w:pPr>
      <w:bookmarkStart w:id="0" w:name="_GoBack"/>
      <w:r w:rsidRPr="004361B8">
        <w:rPr>
          <w:rFonts w:eastAsia="Times New Roman" w:cs="Times New Roman"/>
          <w:b/>
          <w:kern w:val="1"/>
          <w:szCs w:val="28"/>
          <w:lang w:val="en-GB" w:eastAsia="ar-SA"/>
        </w:rPr>
        <w:t>Association GOLOS – Domestic Monitoring of Elections</w:t>
      </w:r>
    </w:p>
    <w:p w:rsidR="004361B8" w:rsidRPr="004361B8" w:rsidRDefault="004361B8" w:rsidP="004361B8">
      <w:pPr>
        <w:suppressAutoHyphens/>
        <w:spacing w:after="120" w:line="240" w:lineRule="auto"/>
        <w:jc w:val="center"/>
        <w:rPr>
          <w:rFonts w:eastAsia="Times New Roman" w:cs="Times New Roman"/>
          <w:b/>
          <w:kern w:val="1"/>
          <w:szCs w:val="28"/>
          <w:lang w:val="en-GB" w:eastAsia="ar-SA"/>
        </w:rPr>
      </w:pPr>
      <w:proofErr w:type="gramStart"/>
      <w:r w:rsidRPr="004361B8">
        <w:rPr>
          <w:rFonts w:eastAsia="Times New Roman" w:cs="Times New Roman"/>
          <w:b/>
          <w:kern w:val="1"/>
          <w:szCs w:val="28"/>
          <w:lang w:val="en-GB" w:eastAsia="ar-SA"/>
        </w:rPr>
        <w:t>to</w:t>
      </w:r>
      <w:proofErr w:type="gramEnd"/>
      <w:r w:rsidRPr="004361B8">
        <w:rPr>
          <w:rFonts w:eastAsia="Times New Roman" w:cs="Times New Roman"/>
          <w:b/>
          <w:kern w:val="1"/>
          <w:szCs w:val="28"/>
          <w:lang w:val="en-GB" w:eastAsia="ar-SA"/>
        </w:rPr>
        <w:t xml:space="preserve"> the 6</w:t>
      </w:r>
      <w:r w:rsidRPr="004361B8">
        <w:rPr>
          <w:rFonts w:eastAsia="Times New Roman" w:cs="Times New Roman"/>
          <w:b/>
          <w:kern w:val="1"/>
          <w:szCs w:val="28"/>
          <w:vertAlign w:val="superscript"/>
          <w:lang w:val="en-GB" w:eastAsia="ar-SA"/>
        </w:rPr>
        <w:t>th</w:t>
      </w:r>
      <w:r w:rsidRPr="004361B8">
        <w:rPr>
          <w:rFonts w:eastAsia="Times New Roman" w:cs="Times New Roman"/>
          <w:b/>
          <w:kern w:val="1"/>
          <w:szCs w:val="28"/>
          <w:lang w:val="en-GB" w:eastAsia="ar-SA"/>
        </w:rPr>
        <w:t xml:space="preserve"> State Duma of the Federal Assembly</w:t>
      </w:r>
    </w:p>
    <w:p w:rsidR="004361B8" w:rsidRPr="004361B8" w:rsidRDefault="004361B8" w:rsidP="004361B8">
      <w:pPr>
        <w:suppressAutoHyphens/>
        <w:spacing w:after="120" w:line="240" w:lineRule="auto"/>
        <w:jc w:val="center"/>
        <w:rPr>
          <w:rFonts w:eastAsia="Times New Roman" w:cs="Times New Roman"/>
          <w:b/>
          <w:kern w:val="1"/>
          <w:szCs w:val="28"/>
          <w:lang w:val="en-GB" w:eastAsia="ar-SA"/>
        </w:rPr>
      </w:pPr>
      <w:proofErr w:type="gramStart"/>
      <w:r w:rsidRPr="004361B8">
        <w:rPr>
          <w:rFonts w:eastAsia="Times New Roman" w:cs="Times New Roman"/>
          <w:b/>
          <w:kern w:val="1"/>
          <w:szCs w:val="28"/>
          <w:lang w:val="en-GB" w:eastAsia="ar-SA"/>
        </w:rPr>
        <w:t>Russian Federation, 4.</w:t>
      </w:r>
      <w:proofErr w:type="gramEnd"/>
      <w:r w:rsidRPr="004361B8">
        <w:rPr>
          <w:rFonts w:eastAsia="Times New Roman" w:cs="Times New Roman"/>
          <w:b/>
          <w:kern w:val="1"/>
          <w:szCs w:val="28"/>
          <w:lang w:val="en-GB" w:eastAsia="ar-SA"/>
        </w:rPr>
        <w:t xml:space="preserve"> December 2011</w:t>
      </w:r>
    </w:p>
    <w:bookmarkEnd w:id="0"/>
    <w:p w:rsidR="004361B8" w:rsidRPr="004361B8" w:rsidRDefault="004361B8" w:rsidP="004361B8">
      <w:pPr>
        <w:suppressAutoHyphens/>
        <w:spacing w:after="120" w:line="240" w:lineRule="auto"/>
        <w:jc w:val="center"/>
        <w:rPr>
          <w:rFonts w:eastAsia="Times New Roman" w:cs="Times New Roman"/>
          <w:b/>
          <w:kern w:val="1"/>
          <w:szCs w:val="28"/>
          <w:lang w:val="en-GB" w:eastAsia="ar-SA"/>
        </w:rPr>
      </w:pPr>
    </w:p>
    <w:p w:rsidR="004361B8" w:rsidRPr="004361B8" w:rsidRDefault="004361B8" w:rsidP="004361B8">
      <w:pPr>
        <w:suppressAutoHyphens/>
        <w:spacing w:after="120" w:line="240" w:lineRule="auto"/>
        <w:jc w:val="center"/>
        <w:rPr>
          <w:rFonts w:eastAsia="Times New Roman" w:cs="Times New Roman"/>
          <w:b/>
          <w:kern w:val="1"/>
          <w:szCs w:val="28"/>
          <w:u w:val="single"/>
          <w:lang w:val="en-GB" w:eastAsia="ar-SA"/>
        </w:rPr>
      </w:pPr>
      <w:r w:rsidRPr="004361B8">
        <w:rPr>
          <w:rFonts w:eastAsia="Times New Roman" w:cs="Times New Roman"/>
          <w:b/>
          <w:kern w:val="1"/>
          <w:szCs w:val="28"/>
          <w:u w:val="single"/>
          <w:lang w:val="en-GB" w:eastAsia="ar-SA"/>
        </w:rPr>
        <w:t>Final Report</w:t>
      </w:r>
    </w:p>
    <w:p w:rsidR="004361B8" w:rsidRPr="004361B8" w:rsidRDefault="004361B8" w:rsidP="004361B8">
      <w:pPr>
        <w:suppressAutoHyphens/>
        <w:spacing w:after="120" w:line="240" w:lineRule="auto"/>
        <w:rPr>
          <w:rFonts w:ascii="Arial" w:eastAsia="Times New Roman" w:hAnsi="Arial" w:cs="Arial"/>
          <w:b/>
          <w:kern w:val="1"/>
          <w:sz w:val="22"/>
          <w:lang w:val="en-GB" w:eastAsia="ar-SA"/>
        </w:rPr>
      </w:pPr>
    </w:p>
    <w:p w:rsidR="004361B8" w:rsidRPr="004361B8" w:rsidRDefault="004361B8" w:rsidP="004361B8">
      <w:pPr>
        <w:suppressAutoHyphens/>
        <w:spacing w:after="120" w:line="240" w:lineRule="auto"/>
        <w:rPr>
          <w:rFonts w:ascii="Arial" w:eastAsia="Times New Roman" w:hAnsi="Arial" w:cs="Arial"/>
          <w:b/>
          <w:kern w:val="1"/>
          <w:sz w:val="22"/>
          <w:lang w:val="en-GB" w:eastAsia="ar-SA"/>
        </w:rPr>
      </w:pPr>
    </w:p>
    <w:p w:rsidR="004361B8" w:rsidRPr="004361B8" w:rsidRDefault="004361B8" w:rsidP="004361B8">
      <w:pPr>
        <w:suppressAutoHyphens/>
        <w:spacing w:after="120" w:line="240" w:lineRule="auto"/>
        <w:rPr>
          <w:rFonts w:eastAsia="Times New Roman" w:cs="Times New Roman"/>
          <w:b/>
          <w:kern w:val="1"/>
          <w:sz w:val="24"/>
          <w:szCs w:val="24"/>
          <w:lang w:val="en-GB" w:eastAsia="ar-SA"/>
        </w:rPr>
      </w:pPr>
      <w:r w:rsidRPr="004361B8">
        <w:rPr>
          <w:rFonts w:eastAsia="Times New Roman" w:cs="Times New Roman"/>
          <w:b/>
          <w:kern w:val="1"/>
          <w:sz w:val="24"/>
          <w:szCs w:val="24"/>
          <w:lang w:val="en-GB" w:eastAsia="ar-SA"/>
        </w:rPr>
        <w:t>1. Introduction</w:t>
      </w:r>
    </w:p>
    <w:p w:rsidR="004361B8" w:rsidRPr="004361B8" w:rsidRDefault="004361B8" w:rsidP="004361B8">
      <w:pPr>
        <w:suppressAutoHyphens/>
        <w:spacing w:after="120" w:line="240" w:lineRule="auto"/>
        <w:rPr>
          <w:rFonts w:eastAsia="Times New Roman" w:cs="Times New Roman"/>
          <w:kern w:val="1"/>
          <w:sz w:val="24"/>
          <w:szCs w:val="24"/>
          <w:lang w:val="en-GB" w:eastAsia="ar-SA"/>
        </w:rPr>
      </w:pPr>
      <w:r w:rsidRPr="004361B8">
        <w:rPr>
          <w:rFonts w:eastAsia="Times New Roman" w:cs="Times New Roman"/>
          <w:kern w:val="1"/>
          <w:sz w:val="24"/>
          <w:szCs w:val="24"/>
          <w:lang w:val="en-GB" w:eastAsia="ar-SA"/>
        </w:rPr>
        <w:t>The Association GOLOS has conducted a large-scale observation of the elections to the 6</w:t>
      </w:r>
      <w:r w:rsidRPr="004361B8">
        <w:rPr>
          <w:rFonts w:eastAsia="Times New Roman" w:cs="Times New Roman"/>
          <w:kern w:val="1"/>
          <w:sz w:val="24"/>
          <w:szCs w:val="24"/>
          <w:vertAlign w:val="superscript"/>
          <w:lang w:val="en-GB" w:eastAsia="ar-SA"/>
        </w:rPr>
        <w:t xml:space="preserve">th </w:t>
      </w:r>
      <w:r w:rsidRPr="004361B8">
        <w:rPr>
          <w:rFonts w:eastAsia="Times New Roman" w:cs="Times New Roman"/>
          <w:kern w:val="1"/>
          <w:sz w:val="24"/>
          <w:szCs w:val="24"/>
          <w:lang w:val="en-GB" w:eastAsia="ar-SA"/>
        </w:rPr>
        <w:t xml:space="preserve">State Duma of the Federal Assembly of the Russia Federation. In 48 Federal Subjects, long-term observers from the Association GOLOS monitored the events of the elections. On </w:t>
      </w:r>
      <w:proofErr w:type="gramStart"/>
      <w:r w:rsidRPr="004361B8">
        <w:rPr>
          <w:rFonts w:eastAsia="Times New Roman" w:cs="Times New Roman"/>
          <w:kern w:val="1"/>
          <w:sz w:val="24"/>
          <w:szCs w:val="24"/>
          <w:lang w:val="en-GB" w:eastAsia="ar-SA"/>
        </w:rPr>
        <w:t>election day</w:t>
      </w:r>
      <w:proofErr w:type="gramEnd"/>
      <w:r w:rsidRPr="004361B8">
        <w:rPr>
          <w:rFonts w:eastAsia="Times New Roman" w:cs="Times New Roman"/>
          <w:kern w:val="1"/>
          <w:sz w:val="24"/>
          <w:szCs w:val="24"/>
          <w:lang w:val="en-GB" w:eastAsia="ar-SA"/>
        </w:rPr>
        <w:t xml:space="preserve"> itself and for the investigation of the election results, around 1,700 correspondents from the newspaper “</w:t>
      </w:r>
      <w:proofErr w:type="spellStart"/>
      <w:r w:rsidRPr="004361B8">
        <w:rPr>
          <w:rFonts w:eastAsia="Times New Roman" w:cs="Times New Roman"/>
          <w:kern w:val="1"/>
          <w:sz w:val="24"/>
          <w:szCs w:val="24"/>
          <w:lang w:val="en-GB" w:eastAsia="ar-SA"/>
        </w:rPr>
        <w:t>Grazhdanskij</w:t>
      </w:r>
      <w:proofErr w:type="spellEnd"/>
      <w:r w:rsidRPr="004361B8">
        <w:rPr>
          <w:rFonts w:eastAsia="Times New Roman" w:cs="Times New Roman"/>
          <w:kern w:val="1"/>
          <w:sz w:val="24"/>
          <w:szCs w:val="24"/>
          <w:lang w:val="en-GB" w:eastAsia="ar-SA"/>
        </w:rPr>
        <w:t xml:space="preserve"> </w:t>
      </w:r>
      <w:proofErr w:type="spellStart"/>
      <w:r w:rsidRPr="004361B8">
        <w:rPr>
          <w:rFonts w:eastAsia="Times New Roman" w:cs="Times New Roman"/>
          <w:kern w:val="1"/>
          <w:sz w:val="24"/>
          <w:szCs w:val="24"/>
          <w:lang w:val="en-GB" w:eastAsia="ar-SA"/>
        </w:rPr>
        <w:t>golos</w:t>
      </w:r>
      <w:proofErr w:type="spellEnd"/>
      <w:r w:rsidRPr="004361B8">
        <w:rPr>
          <w:rFonts w:eastAsia="Times New Roman" w:cs="Times New Roman"/>
          <w:kern w:val="1"/>
          <w:sz w:val="24"/>
          <w:szCs w:val="24"/>
          <w:lang w:val="en-GB" w:eastAsia="ar-SA"/>
        </w:rPr>
        <w:t>” [Eng.: Citizen’s voice] conducted a short-term observation, visiting around 4,000 polling stations in 40 regions.</w:t>
      </w:r>
      <w:r w:rsidRPr="004361B8">
        <w:rPr>
          <w:rFonts w:eastAsia="Times New Roman" w:cs="Times New Roman"/>
          <w:kern w:val="1"/>
          <w:sz w:val="24"/>
          <w:szCs w:val="24"/>
          <w:vertAlign w:val="superscript"/>
          <w:lang w:val="en-GB" w:eastAsia="ar-SA"/>
        </w:rPr>
        <w:footnoteReference w:id="1"/>
      </w:r>
    </w:p>
    <w:p w:rsidR="004361B8" w:rsidRPr="004361B8" w:rsidRDefault="004361B8" w:rsidP="004361B8">
      <w:pPr>
        <w:suppressAutoHyphens/>
        <w:spacing w:after="120" w:line="240" w:lineRule="auto"/>
        <w:rPr>
          <w:rFonts w:eastAsia="Times New Roman" w:cs="Times New Roman"/>
          <w:kern w:val="1"/>
          <w:sz w:val="24"/>
          <w:szCs w:val="24"/>
          <w:lang w:val="en-GB" w:eastAsia="ar-SA"/>
        </w:rPr>
      </w:pPr>
      <w:r w:rsidRPr="004361B8">
        <w:rPr>
          <w:rFonts w:eastAsia="Times New Roman" w:cs="Times New Roman"/>
          <w:kern w:val="1"/>
          <w:sz w:val="24"/>
          <w:szCs w:val="24"/>
          <w:lang w:val="en-GB" w:eastAsia="ar-SA"/>
        </w:rPr>
        <w:t xml:space="preserve">GOLOS organised a “Map of violations”, a website on which citizens of the Russian Federation were able to report violations throughout the entire election period. On the “Map of violations”, a joint project run by GOLOS and the internet publication Gazeta.ru, more than 5,000 reports of violations were submitted by </w:t>
      </w:r>
      <w:proofErr w:type="gramStart"/>
      <w:r w:rsidRPr="004361B8">
        <w:rPr>
          <w:rFonts w:eastAsia="Times New Roman" w:cs="Times New Roman"/>
          <w:kern w:val="1"/>
          <w:sz w:val="24"/>
          <w:szCs w:val="24"/>
          <w:lang w:val="en-GB" w:eastAsia="ar-SA"/>
        </w:rPr>
        <w:t>election day</w:t>
      </w:r>
      <w:proofErr w:type="gramEnd"/>
      <w:r w:rsidRPr="004361B8">
        <w:rPr>
          <w:rFonts w:eastAsia="Times New Roman" w:cs="Times New Roman"/>
          <w:kern w:val="1"/>
          <w:sz w:val="24"/>
          <w:szCs w:val="24"/>
          <w:lang w:val="en-GB" w:eastAsia="ar-SA"/>
        </w:rPr>
        <w:t>; following election day the number of reports rose to 7,800.</w:t>
      </w:r>
    </w:p>
    <w:p w:rsidR="004361B8" w:rsidRPr="004361B8" w:rsidRDefault="004361B8" w:rsidP="004361B8">
      <w:pPr>
        <w:suppressAutoHyphens/>
        <w:spacing w:after="120" w:line="240" w:lineRule="auto"/>
        <w:rPr>
          <w:rFonts w:eastAsia="Times New Roman" w:cs="Times New Roman"/>
          <w:kern w:val="1"/>
          <w:sz w:val="24"/>
          <w:szCs w:val="24"/>
          <w:lang w:val="en-GB" w:eastAsia="ar-SA"/>
        </w:rPr>
      </w:pPr>
      <w:r w:rsidRPr="004361B8">
        <w:rPr>
          <w:rFonts w:eastAsia="Times New Roman" w:cs="Times New Roman"/>
          <w:kern w:val="1"/>
          <w:sz w:val="24"/>
          <w:szCs w:val="24"/>
          <w:lang w:val="en-GB" w:eastAsia="ar-SA"/>
        </w:rPr>
        <w:t>In the week before election day, a widespread and coordinated campaign was let loose against the Association GOLOS, which consisted of legal persecution (a fine was issued), defamatory reports in the media, interference with the work of staff and correspondents, and hacking attacks on the website and staff email accounts.</w:t>
      </w:r>
    </w:p>
    <w:p w:rsidR="004361B8" w:rsidRPr="004361B8" w:rsidRDefault="004361B8" w:rsidP="004361B8">
      <w:pPr>
        <w:suppressAutoHyphens/>
        <w:spacing w:after="120" w:line="240" w:lineRule="auto"/>
        <w:rPr>
          <w:rFonts w:eastAsia="Times New Roman" w:cs="Times New Roman"/>
          <w:kern w:val="1"/>
          <w:sz w:val="24"/>
          <w:szCs w:val="24"/>
          <w:lang w:val="en-GB" w:eastAsia="ar-SA"/>
        </w:rPr>
      </w:pPr>
      <w:r w:rsidRPr="004361B8">
        <w:rPr>
          <w:rFonts w:eastAsia="Times New Roman" w:cs="Times New Roman"/>
          <w:kern w:val="1"/>
          <w:sz w:val="24"/>
          <w:szCs w:val="24"/>
          <w:lang w:val="en-GB" w:eastAsia="ar-SA"/>
        </w:rPr>
        <w:t xml:space="preserve">The election of deputies to the State Duma was neither free nor fair, nor did it meet the demands of the Russian electoral code and international electoral standards. The fundamental principles of elections were not adhered to, namely true competition and the equal rights of all sides </w:t>
      </w:r>
      <w:proofErr w:type="gramStart"/>
      <w:r w:rsidRPr="004361B8">
        <w:rPr>
          <w:rFonts w:eastAsia="Times New Roman" w:cs="Times New Roman"/>
          <w:kern w:val="1"/>
          <w:sz w:val="24"/>
          <w:szCs w:val="24"/>
          <w:lang w:val="en-GB" w:eastAsia="ar-SA"/>
        </w:rPr>
        <w:t>involved,</w:t>
      </w:r>
      <w:proofErr w:type="gramEnd"/>
      <w:r w:rsidRPr="004361B8">
        <w:rPr>
          <w:rFonts w:eastAsia="Times New Roman" w:cs="Times New Roman"/>
          <w:kern w:val="1"/>
          <w:sz w:val="24"/>
          <w:szCs w:val="24"/>
          <w:lang w:val="en-GB" w:eastAsia="ar-SA"/>
        </w:rPr>
        <w:t xml:space="preserve"> a neutral administration, independent election commissions, a vote conforming to the law and a correct vote-counting process. All phases of the election period were marked by a range of violations against the electoral code, which were designed to distort the will of the electorate and thereby remove the possibility of an appropriate representation of citizens’ interests in the most senior legislative organ of the country.</w:t>
      </w:r>
    </w:p>
    <w:p w:rsidR="004361B8" w:rsidRPr="004361B8" w:rsidRDefault="004361B8" w:rsidP="004361B8">
      <w:pPr>
        <w:suppressAutoHyphens/>
        <w:spacing w:after="120" w:line="240" w:lineRule="auto"/>
        <w:rPr>
          <w:rFonts w:eastAsia="Times New Roman" w:cs="Times New Roman"/>
          <w:kern w:val="1"/>
          <w:sz w:val="24"/>
          <w:szCs w:val="24"/>
          <w:lang w:val="en-GB" w:eastAsia="ar-SA"/>
        </w:rPr>
      </w:pPr>
    </w:p>
    <w:p w:rsidR="004361B8" w:rsidRPr="004361B8" w:rsidRDefault="004361B8" w:rsidP="004361B8">
      <w:pPr>
        <w:suppressAutoHyphens/>
        <w:spacing w:after="120" w:line="240" w:lineRule="auto"/>
        <w:rPr>
          <w:rFonts w:eastAsia="Times New Roman" w:cs="Times New Roman"/>
          <w:kern w:val="1"/>
          <w:sz w:val="24"/>
          <w:szCs w:val="24"/>
          <w:lang w:val="en-GB" w:eastAsia="ar-SA"/>
        </w:rPr>
      </w:pPr>
    </w:p>
    <w:p w:rsidR="007158A7" w:rsidRPr="004361B8" w:rsidRDefault="007158A7">
      <w:pPr>
        <w:rPr>
          <w:lang w:val="en-GB"/>
        </w:rPr>
      </w:pPr>
    </w:p>
    <w:sectPr w:rsidR="007158A7" w:rsidRPr="004361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143" w:rsidRDefault="00AE7143" w:rsidP="004361B8">
      <w:pPr>
        <w:spacing w:after="0" w:line="240" w:lineRule="auto"/>
      </w:pPr>
      <w:r>
        <w:separator/>
      </w:r>
    </w:p>
  </w:endnote>
  <w:endnote w:type="continuationSeparator" w:id="0">
    <w:p w:rsidR="00AE7143" w:rsidRDefault="00AE7143" w:rsidP="00436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143" w:rsidRDefault="00AE7143" w:rsidP="004361B8">
      <w:pPr>
        <w:spacing w:after="0" w:line="240" w:lineRule="auto"/>
      </w:pPr>
      <w:r>
        <w:separator/>
      </w:r>
    </w:p>
  </w:footnote>
  <w:footnote w:type="continuationSeparator" w:id="0">
    <w:p w:rsidR="00AE7143" w:rsidRDefault="00AE7143" w:rsidP="004361B8">
      <w:pPr>
        <w:spacing w:after="0" w:line="240" w:lineRule="auto"/>
      </w:pPr>
      <w:r>
        <w:continuationSeparator/>
      </w:r>
    </w:p>
  </w:footnote>
  <w:footnote w:id="1">
    <w:p w:rsidR="004361B8" w:rsidRPr="00C94471" w:rsidRDefault="004361B8" w:rsidP="004361B8">
      <w:pPr>
        <w:pStyle w:val="a3"/>
        <w:spacing w:after="120"/>
        <w:rPr>
          <w:lang w:val="en-GB"/>
        </w:rPr>
      </w:pPr>
      <w:r w:rsidRPr="00C94471">
        <w:rPr>
          <w:rStyle w:val="a5"/>
        </w:rPr>
        <w:footnoteRef/>
      </w:r>
      <w:r w:rsidRPr="00C94471">
        <w:rPr>
          <w:lang w:val="en-GB"/>
        </w:rPr>
        <w:t xml:space="preserve"> It was originally planned that 2021 correspondents would be present in the precinct election commissions and 91 in the territorial election commissions. Some of the correspondents, however, did not wish to participate in the election monitoring as a result of pressure put on them, whilst others were refused entry to the polling stations.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B8"/>
    <w:rsid w:val="004361B8"/>
    <w:rsid w:val="007158A7"/>
    <w:rsid w:val="00AE7143"/>
    <w:rsid w:val="00C67946"/>
    <w:rsid w:val="00D71566"/>
    <w:rsid w:val="00FD7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F2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361B8"/>
    <w:pPr>
      <w:spacing w:after="0" w:line="240" w:lineRule="auto"/>
    </w:pPr>
    <w:rPr>
      <w:sz w:val="20"/>
      <w:szCs w:val="20"/>
    </w:rPr>
  </w:style>
  <w:style w:type="character" w:customStyle="1" w:styleId="a4">
    <w:name w:val="Текст сноски Знак"/>
    <w:basedOn w:val="a0"/>
    <w:link w:val="a3"/>
    <w:uiPriority w:val="99"/>
    <w:semiHidden/>
    <w:rsid w:val="004361B8"/>
    <w:rPr>
      <w:rFonts w:ascii="Times New Roman" w:hAnsi="Times New Roman"/>
      <w:sz w:val="20"/>
      <w:szCs w:val="20"/>
    </w:rPr>
  </w:style>
  <w:style w:type="character" w:styleId="a5">
    <w:name w:val="footnote reference"/>
    <w:rsid w:val="004361B8"/>
    <w:rPr>
      <w:vertAlign w:val="superscript"/>
    </w:rPr>
  </w:style>
  <w:style w:type="paragraph" w:styleId="a6">
    <w:name w:val="Balloon Text"/>
    <w:basedOn w:val="a"/>
    <w:link w:val="a7"/>
    <w:uiPriority w:val="99"/>
    <w:semiHidden/>
    <w:unhideWhenUsed/>
    <w:rsid w:val="004361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6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F2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361B8"/>
    <w:pPr>
      <w:spacing w:after="0" w:line="240" w:lineRule="auto"/>
    </w:pPr>
    <w:rPr>
      <w:sz w:val="20"/>
      <w:szCs w:val="20"/>
    </w:rPr>
  </w:style>
  <w:style w:type="character" w:customStyle="1" w:styleId="a4">
    <w:name w:val="Текст сноски Знак"/>
    <w:basedOn w:val="a0"/>
    <w:link w:val="a3"/>
    <w:uiPriority w:val="99"/>
    <w:semiHidden/>
    <w:rsid w:val="004361B8"/>
    <w:rPr>
      <w:rFonts w:ascii="Times New Roman" w:hAnsi="Times New Roman"/>
      <w:sz w:val="20"/>
      <w:szCs w:val="20"/>
    </w:rPr>
  </w:style>
  <w:style w:type="character" w:styleId="a5">
    <w:name w:val="footnote reference"/>
    <w:rsid w:val="004361B8"/>
    <w:rPr>
      <w:vertAlign w:val="superscript"/>
    </w:rPr>
  </w:style>
  <w:style w:type="paragraph" w:styleId="a6">
    <w:name w:val="Balloon Text"/>
    <w:basedOn w:val="a"/>
    <w:link w:val="a7"/>
    <w:uiPriority w:val="99"/>
    <w:semiHidden/>
    <w:unhideWhenUsed/>
    <w:rsid w:val="004361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6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Mitesha</dc:creator>
  <cp:lastModifiedBy>Mitesha</cp:lastModifiedBy>
  <cp:revision>1</cp:revision>
  <cp:lastPrinted>2012-02-09T05:11:00Z</cp:lastPrinted>
  <dcterms:created xsi:type="dcterms:W3CDTF">2012-02-09T05:10:00Z</dcterms:created>
  <dcterms:modified xsi:type="dcterms:W3CDTF">2012-02-09T05:28:00Z</dcterms:modified>
</cp:coreProperties>
</file>